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5.png" ContentType="image/png"/>
  <Override PartName="/word/media/rId126.png" ContentType="image/png"/>
  <Override PartName="/word/media/rId132.png" ContentType="image/png"/>
  <Override PartName="/word/media/rId135.png" ContentType="image/png"/>
  <Override PartName="/word/media/rId141.png" ContentType="image/png"/>
  <Override PartName="/word/media/rId129.png" ContentType="image/png"/>
  <Override PartName="/word/media/rId13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rPr>
          <w:b/>
          <w:bCs/>
        </w:rPr>
        <w:t xml:space="preserve">Background:</w:t>
      </w:r>
      <w:r>
        <w:t xml:space="preserve"> </w:t>
      </w:r>
      <w:r>
        <w:t xml:space="preserve">Infection with</w:t>
      </w:r>
      <w:r>
        <w:t xml:space="preserve"> </w:t>
      </w:r>
      <w:r>
        <w:rPr>
          <w:i/>
          <w:iCs/>
        </w:rPr>
        <w:t xml:space="preserve">Turkey Hemorrhagic Enteritis Virus (THEV)</w:t>
      </w:r>
      <w:r>
        <w:t xml:space="preserve"> </w:t>
      </w:r>
      <w:r>
        <w:t xml:space="preserve">can cause hemorrhagic enteritis, which affects turkey poults. This disease is characterized by immunosuppression (IMS) and bloody droppings. The clinical disease usually lasts only a few days but secondary opportunistic infections due to THEV-induced IMS extend the duration of illness and mortality, which exacerbates economic losses. Although an avirulent THEV strain with only subclinical disease is used as a vaccine, some immunosuppressive properties remain in this prophylactic strain. To elucidate the mechanisms mediating THEV-induced IMS, we performed the first transcriptomic analysis of a THEV infection using bulk RNA-sequencing.</w:t>
      </w:r>
      <w:r>
        <w:br/>
      </w:r>
      <w:r>
        <w:rPr>
          <w:b/>
          <w:bCs/>
        </w:rPr>
        <w:t xml:space="preserve">Methods:</w:t>
      </w:r>
      <w:r>
        <w:t xml:space="preserve"> </w:t>
      </w:r>
      <w:r>
        <w:t xml:space="preserve">After infecting a turkey B-cell line with the vaccine strain, samples in triplicates were collected at 4-, 12-, 24-, and 72-hours post-infection (hpi). Total RNA was extracted, and poly-Adenylated-tailed mRNAs were sequenced. Reads were mapped to the host turkey genome after trimming and gene expression was quantified with StringTie. Differential gene expression was performed with DESeq2 followed by functional enrichment analysis with gprofiler2 and DAVID from NCBI. RT-qPCR of select genes was performed to validate the RNA-seq data.</w:t>
      </w:r>
      <w:r>
        <w:br/>
      </w:r>
      <w:r>
        <w:rPr>
          <w:b/>
          <w:bCs/>
        </w:rPr>
        <w:t xml:space="preserve">Results:</w:t>
      </w:r>
      <w:r>
        <w:t xml:space="preserve"> </w:t>
      </w:r>
      <w:r>
        <w:t xml:space="preserve">A total of 2,343 and 3,295 differentially expressed genes (DEGs) were identified at 12-hpi and 24-hpi, respectively. At 12-hpi, 1,079 genes were upregulated and 1,264 genes downregulated, whereas 1,512 genes were upregulated and 1,783 genes downregulated at 24-hpi. The DEGs contributed to multiple biological processes including apoptosis, ER unfolded protein response, and cell maintenance. Multiple pro-apoptotic genes, including</w:t>
      </w:r>
      <w:r>
        <w:t xml:space="preserve"> </w:t>
      </w:r>
      <w:r>
        <w:rPr>
          <w:i/>
          <w:iCs/>
        </w:rPr>
        <w:t xml:space="preserve">APAF1, BNIP3L, BMF, BAK1, RIPK1, and FAS</w:t>
      </w:r>
      <w:r>
        <w:t xml:space="preserve"> </w:t>
      </w:r>
      <w:r>
        <w:t xml:space="preserve">were upregulated. Genes that play a role in ER stress-induced unfolded protein response including</w:t>
      </w:r>
      <w:r>
        <w:t xml:space="preserve"> </w:t>
      </w:r>
      <w:r>
        <w:rPr>
          <w:i/>
          <w:iCs/>
        </w:rPr>
        <w:t xml:space="preserve">VCP, UFD1, EDEM1, EDEM3, and ATF4</w:t>
      </w:r>
      <w:r>
        <w:t xml:space="preserve"> </w:t>
      </w:r>
      <w:r>
        <w:t xml:space="preserve">were also upregulated and may contribute to apoptosis.</w:t>
      </w:r>
      <w:r>
        <w:br/>
      </w:r>
      <w:r>
        <w:rPr>
          <w:b/>
          <w:bCs/>
        </w:rPr>
        <w:t xml:space="preserve">Conclusions:</w:t>
      </w:r>
      <w:r>
        <w:t xml:space="preserve"> </w:t>
      </w:r>
      <w:r>
        <w:t xml:space="preserve">Our data suggest that several biological processes and pathways including apoptosis, immune response, ER response to stress, ubiquitin-dependent protein catabolic process, and repression of essential cellular maintenance are important aspects of the host cell response to THEV infection. It is possible that interplay between multiple processes may mediate apoptosis of infected B-cells, leading to IMS.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belongs to genus</w:t>
      </w:r>
      <w:r>
        <w:t xml:space="preserve"> </w:t>
      </w:r>
      <w:r>
        <w:rPr>
          <w:i/>
          <w:iCs/>
        </w:rPr>
        <w:t xml:space="preserve">Siadenovirus</w:t>
      </w:r>
      <w:r>
        <w:t xml:space="preserve">, family</w:t>
      </w:r>
      <w:r>
        <w:t xml:space="preserve"> </w:t>
      </w:r>
      <w:r>
        <w:rPr>
          <w:i/>
          <w:iCs/>
        </w:rPr>
        <w:t xml:space="preserve">Adenoviridae</w:t>
      </w:r>
      <w:r>
        <w:t xml:space="preserve">, and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7-10 days. However, secondary bacterial infections may extend the duration of illness and increase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leading to additional losses</w:t>
      </w:r>
      <w:r>
        <w:t xml:space="preserve"> </w:t>
      </w:r>
      <w:r>
        <w:t xml:space="preserve">(4, 5, 8–10)</w:t>
      </w:r>
      <w:r>
        <w:t xml:space="preserve">.</w:t>
      </w:r>
    </w:p>
    <w:p>
      <w:pPr>
        <w:pStyle w:val="BodyText"/>
      </w:pPr>
      <w:r>
        <w:t xml:space="preserve">It is well-established that THEV primarily infects and replicates in turkey B-cells of the bursa and spleen and to a lesser extent in macrophages, inducing apoptosis and necrosis. Consequently, a significant drop in the number of B-cells (specifically, IgM+ B-cells) and macrophages ensues along with increased T-cell counts with abnormal ratios of T-cell subpopulations (CD4+ and CD8+).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m:t>α</m:t>
        </m:r>
      </m:oMath>
      <w:r>
        <w:t xml:space="preserve"> </w:t>
      </w:r>
      <w:r>
        <w:t xml:space="preserve">and IFN-</w:t>
      </w:r>
      <m:oMath>
        <m:r>
          <m:t>β</m:t>
        </m:r>
      </m:oMath>
      <w:r>
        <w:t xml:space="preserve">) and type II (IFN-</w:t>
      </w:r>
      <m:oMath>
        <m:r>
          <m:t>γ</m:t>
        </m:r>
      </m:oMath>
      <w:r>
        <w:t xml:space="preserve">) interferons as well as tumor necrosis factor (TNF), while activated macrophages secrete interleukin 6 (IL-6), TNF, and nitric oxide (NO), an antiviral agent with immunosuppressive properties. These cytokines may further contribute to apoptosis and necrosis in bystander splenocytes, culminating in IMS</w:t>
      </w:r>
      <w:r>
        <w:t xml:space="preserve"> </w:t>
      </w:r>
      <w:r>
        <w:t xml:space="preserve">(8, 11)</w:t>
      </w:r>
      <w:r>
        <w:t xml:space="preserve"> </w:t>
      </w:r>
      <w:r>
        <w:t xml:space="preserve">(</w:t>
      </w:r>
      <w:r>
        <w:rPr>
          <w:b/>
          <w:bCs/>
        </w:rPr>
        <w:t xml:space="preserve">Figure 1</w:t>
      </w:r>
      <w:r>
        <w:t xml:space="preserve">). However, the precise molecular mechanisms of THEV-induced IMS or the relevant intracellular signaling pathways are poorly understood</w:t>
      </w:r>
      <w:r>
        <w:t xml:space="preserve"> </w:t>
      </w:r>
      <w:r>
        <w:t xml:space="preserve">(6)</w:t>
      </w:r>
      <w:r>
        <w:t xml:space="preserve">. Elucidating the specific mechanisms and pathways of THEV-induced IMS is a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biological sciences</w:t>
      </w:r>
      <w:r>
        <w:t xml:space="preserve"> </w:t>
      </w:r>
      <w:r>
        <w:t xml:space="preserve">(12)</w:t>
      </w:r>
      <w:r>
        <w:t xml:space="preserve">. Bulk mRNA sequencing (RNA-seq), an NGS approach to transcriptomic studies, is a versatile, high throughput, and cost-effective technology that allows a broad scan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w:t>
      </w:r>
      <w:r>
        <w:t xml:space="preserve"> </w:t>
      </w:r>
      <w:r>
        <w:t xml:space="preserve">(12–16)</w:t>
      </w:r>
      <w:r>
        <w:t xml:space="preserve">.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reference genome of</w:t>
      </w:r>
      <w:r>
        <w:t xml:space="preserve"> </w:t>
      </w:r>
      <w:r>
        <w:rPr>
          <w:i/>
          <w:iCs/>
        </w:rPr>
        <w:t xml:space="preserve">M. gallopavo</w:t>
      </w:r>
      <w:r>
        <w:t xml:space="preserve"> </w:t>
      </w:r>
      <w:r>
        <w:t xml:space="preserve">obtained from the National Center for Biotechnology Information (NCBI). The percentage of reads that mapped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We quantified gene expression levels with the StringTie software</w:t>
      </w:r>
      <w:r>
        <w:t xml:space="preserve"> </w:t>
      </w:r>
      <w:r>
        <w:t xml:space="preserve">(19)</w:t>
      </w:r>
      <w:r>
        <w:t xml:space="preserve"> </w:t>
      </w:r>
      <w:r>
        <w:t xml:space="preserve">in Fragments per kilobase of transcript per million (FPKM) units. The differential expression analysis of DEGs was performed with the DESeq2 R package</w:t>
      </w:r>
      <w:r>
        <w:t xml:space="preserve"> </w:t>
      </w:r>
      <w:r>
        <w:t xml:space="preserve">(20)</w:t>
      </w:r>
      <w:r>
        <w:t xml:space="preserve"> </w:t>
      </w:r>
      <w:r>
        <w:t xml:space="preserve">which employs a negative binomial distribution model for determining statistical significance. Using a false discovery rate (FDR)-adjusted P-value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24">
        <w:r>
          <w:rPr>
            <w:rStyle w:val="Hyperlink"/>
          </w:rPr>
          <w:t xml:space="preserve">http://www.ncbi.nlm.nih.gov/geo</w:t>
        </w:r>
      </w:hyperlink>
      <w:r>
        <w:t xml:space="preserve">) under accession number ### with files named total_12hrsDEGs.csv and total_24hrsDEGs.csv, respectively. We compared THEV-infected samples relative to their time-matched mock-infected samples in identifying the significant DEGs and in the functional enrichment analyses. At 12-hpi (THEV-infected versus mock-infected), we found</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(THEV-infected versus mock-infected)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the DEGs determined at the 12- and 24-hpi timepoints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outputs results according to the three branches of the GO directed acyclic graph – cellular components (CP), biological processes (BP), and molecular functions (MF). We compared THEV-infected samples relative to their time-matched mock-infected samples for each timepoint.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we observed that the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at both timepoints.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the host cell cycle to the S phase during the early phase of infection is a prerequisite for a productive adenovirus infection</w:t>
      </w:r>
      <w:r>
        <w:t xml:space="preserve"> </w:t>
      </w:r>
      <w:r>
        <w:t xml:space="preserve">(27)</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(27, 28)</w:t>
      </w:r>
      <w:r>
        <w:t xml:space="preserve">. Our GO and KEGG pathway results showed that at 12-hpi,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(29)</w:t>
      </w:r>
      <w:r>
        <w:t xml:space="preserve">. Repression of host RNA and protein synthesis is also strongly associated with apoptosis</w:t>
      </w:r>
      <w:r>
        <w:t xml:space="preserve"> </w:t>
      </w:r>
      <w:r>
        <w:t xml:space="preserve">(30)</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Endoplasmic Reticulum (ER) Stress Response during THEV infection</w:t>
      </w:r>
      <w:r>
        <w:br/>
      </w:r>
      <w:r>
        <w:t xml:space="preserve">Our KEGG pathway analysis (</w:t>
      </w:r>
      <w:r>
        <w:rPr>
          <w:b/>
          <w:bCs/>
        </w:rPr>
        <w:t xml:space="preserve">Table 4A</w:t>
      </w:r>
      <w:r>
        <w:t xml:space="preserve">) showed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w:t>
      </w:r>
      <w:r>
        <w:t xml:space="preserve"> </w:t>
      </w:r>
      <w:r>
        <w:t xml:space="preserve">(31)</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(31)</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the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at 24-hpi.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poultry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pPr>
        <w:pStyle w:val="BodyText"/>
      </w:pPr>
      <w:r>
        <w:t xml:space="preserve">Only one cell line (MDTC-RP19 or RP19) has ever been found to be capable of supporting THEV infection and replication</w:t>
      </w:r>
      <w:r>
        <w:t xml:space="preserve"> </w:t>
      </w:r>
      <w:r>
        <w:t xml:space="preserve">(32)</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(33)</w:t>
      </w:r>
      <w:r>
        <w:t xml:space="preserve">, leading to only 12- and 24-hpi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(24–26)</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(27, 28)</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(27, 28)</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(27)</w:t>
      </w:r>
      <w:r>
        <w:t xml:space="preserve">. Siadenoviruses including THEV are the smallest adenoviruses and therefore encode the fewest genes</w:t>
      </w:r>
      <w:r>
        <w:t xml:space="preserve"> </w:t>
      </w:r>
      <w:r>
        <w:t xml:space="preserve">(10, 34)</w:t>
      </w:r>
      <w:r>
        <w:t xml:space="preserve">. THEV encodes a mere 34 ORFs with no anti-apoptotic genes characterized</w:t>
      </w:r>
      <w:r>
        <w:t xml:space="preserve"> </w:t>
      </w:r>
      <w:r>
        <w:t xml:space="preserve">(34)</w:t>
      </w:r>
      <w:r>
        <w:t xml:space="preserve">. In agreement with these findings,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(16, 31, 35)</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(16, 31, 35, 36)</w:t>
      </w:r>
      <w:r>
        <w:t xml:space="preserve">. However, if incorrect lumenal protein overload persists, the prolonged UPR will induce apoptosis known as ER stress-associated programmed cell death</w:t>
      </w:r>
      <w:r>
        <w:t xml:space="preserve"> </w:t>
      </w:r>
      <w:r>
        <w:t xml:space="preserve">(35, 36)</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(35, 36)</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24-hpi than at 12-hpi, reflecting the suggested two phases of UPR – phase one allows the unfolded proteins time to refold without degradation and phase two degrades any proteins which have failed to fold</w:t>
      </w:r>
      <w:r>
        <w:t xml:space="preserve"> </w:t>
      </w:r>
      <w:r>
        <w:t xml:space="preserve">(36)</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based on the onset of viral DNA replication</w:t>
      </w:r>
      <w:r>
        <w:t xml:space="preserve"> </w:t>
      </w:r>
      <w:r>
        <w:t xml:space="preserve">(27, 28)</w:t>
      </w:r>
      <w:r>
        <w:t xml:space="preserve">. Based on DNA microarray analysis, adenovirus type 2 (Ad2) infection has been divided into four stages. The first period is from 0 to 12-hpi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w:t>
      </w:r>
      <w:r>
        <w:t xml:space="preserve"> </w:t>
      </w:r>
      <w:r>
        <w:t xml:space="preserve">(27)</w:t>
      </w:r>
      <w:r>
        <w:t xml:space="preserve">. The second period covers the time from 12 to 24-hpi and follows activation of the immediate early E1A gene, which forcibly transition cell cycle to S phase</w:t>
      </w:r>
      <w:r>
        <w:t xml:space="preserve"> </w:t>
      </w:r>
      <w:r>
        <w:t xml:space="preserve">(27)</w:t>
      </w:r>
      <w:r>
        <w:t xml:space="preserve">.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(29)</w:t>
      </w:r>
      <w:r>
        <w:t xml:space="preserve"> </w:t>
      </w:r>
      <w:r>
        <w:t xml:space="preserve">and repression of RNA and protein synthesis is also strongly associated with apoptosis</w:t>
      </w:r>
      <w:r>
        <w:t xml:space="preserve"> </w:t>
      </w:r>
      <w:r>
        <w:t xml:space="preserve">(30)</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26"/>
    <w:bookmarkStart w:id="27"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(37)</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150-bp reads was performed on the Illumina NovaSeq 6000 sequencing system. The paired-end 150bp sequences obtained during this study and all expression data have been submitted to the Gene Expression Omnibus database, under accession no #######</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(38)</w:t>
      </w:r>
      <w:r>
        <w:t xml:space="preserve">, a popular workflow management system to drive the pipeline. Briefly, raw sequencing reads were trimmed with Cutadapt - version 1.10</w:t>
      </w:r>
      <w:r>
        <w:t xml:space="preserve"> </w:t>
      </w:r>
      <w:r>
        <w:t xml:space="preserve">(39)</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(genome build: melGal5)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1.21 was used to convert the output Sequence Alignment Map (SAM) file to the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determining statistical significance when comparing read counts from multiple replicates. Genes with (FDR)-adjusted P-value</w:t>
      </w:r>
      <w:r>
        <w:t xml:space="preserve"> </w:t>
      </w:r>
      <m:oMath>
        <m:r>
          <m:rPr>
            <m:sty m:val="p"/>
          </m:rPr>
          <m:t>≤</m:t>
        </m:r>
      </m:oMath>
      <w:r>
        <w:t xml:space="preserve"> </w:t>
      </w:r>
      <w:r>
        <w:t xml:space="preserve">0.05 were considered as differentially expressed. The sequencing data (FASTQ files), expression-count matrix, and DEG analysis results from DESeq2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(40–42)</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(43)</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gene expression counts, and total DEGs identified at 12- and 24-hpi have been deposited at the NCBI Gene Expression Omnibus (</w:t>
      </w:r>
      <w:hyperlink r:id="rId24">
        <w:r>
          <w:rPr>
            <w:rStyle w:val="Hyperlink"/>
          </w:rPr>
          <w:t xml:space="preserve">http://www.ncbi.nlm.nih.gov/geo</w:t>
        </w:r>
      </w:hyperlink>
      <w:r>
        <w:t xml:space="preserve">) under accession number ######.</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5" w:name="references"/>
    <w:p>
      <w:pPr>
        <w:pStyle w:val="Heading2"/>
      </w:pPr>
      <w:r>
        <w:t xml:space="preserve">REFERENCES</w:t>
      </w:r>
    </w:p>
    <w:p>
      <w:pPr>
        <w:pStyle w:val="FirstParagraph"/>
      </w:pPr>
    </w:p>
    <w:bookmarkStart w:id="124"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Zhao2012"/>
    <w:p>
      <w:pPr>
        <w:pStyle w:val="Bibliography"/>
      </w:pPr>
      <w:r>
        <w:t xml:space="preserve">27.</w:t>
      </w:r>
      <w:r>
        <w:t xml:space="preserve"> </w:t>
      </w:r>
      <w:r>
        <w:t xml:space="preserve">	</w:t>
      </w:r>
      <w:r>
        <w:t xml:space="preserve">Zhao H, Dahlö M, Isaksson A, Syvänen A-C, Pettersson U. 2012.</w:t>
      </w:r>
      <w:r>
        <w:t xml:space="preserve"> </w:t>
      </w:r>
      <w:hyperlink r:id="rId90">
        <w:r>
          <w:rPr>
            <w:rStyle w:val="Hyperlink"/>
          </w:rPr>
          <w:t xml:space="preserve">The transcriptome of the adenovirus infected cell</w:t>
        </w:r>
      </w:hyperlink>
      <w:r>
        <w:t xml:space="preserve">. Virology 424:115–128.</w:t>
      </w:r>
    </w:p>
    <w:bookmarkEnd w:id="91"/>
    <w:bookmarkStart w:id="93" w:name="ref-Guimet2016"/>
    <w:p>
      <w:pPr>
        <w:pStyle w:val="Bibliography"/>
      </w:pPr>
      <w:r>
        <w:t xml:space="preserve">28.</w:t>
      </w:r>
      <w:r>
        <w:t xml:space="preserve"> </w:t>
      </w:r>
      <w:r>
        <w:t xml:space="preserve">	</w:t>
      </w:r>
      <w:r>
        <w:t xml:space="preserve">Guimet D, Hearing P. 2016.</w:t>
      </w:r>
      <w:r>
        <w:t xml:space="preserve"> </w:t>
      </w:r>
      <w:hyperlink r:id="rId92">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3"/>
    <w:bookmarkStart w:id="95" w:name="ref-Roos2006"/>
    <w:p>
      <w:pPr>
        <w:pStyle w:val="Bibliography"/>
      </w:pPr>
      <w:r>
        <w:t xml:space="preserve">29.</w:t>
      </w:r>
      <w:r>
        <w:t xml:space="preserve"> </w:t>
      </w:r>
      <w:r>
        <w:t xml:space="preserve">	</w:t>
      </w:r>
      <w:r>
        <w:t xml:space="preserve">Roos WP, Kaina B. 2006.</w:t>
      </w:r>
      <w:r>
        <w:t xml:space="preserve"> </w:t>
      </w:r>
      <w:hyperlink r:id="rId94">
        <w:r>
          <w:rPr>
            <w:rStyle w:val="Hyperlink"/>
          </w:rPr>
          <w:t xml:space="preserve">DNA damage-induced cell death by apoptosis</w:t>
        </w:r>
      </w:hyperlink>
      <w:r>
        <w:t xml:space="preserve">. Trends in Molecular Medicine 12:440–450.</w:t>
      </w:r>
    </w:p>
    <w:bookmarkEnd w:id="95"/>
    <w:bookmarkStart w:id="97" w:name="ref-Martin1993"/>
    <w:p>
      <w:pPr>
        <w:pStyle w:val="Bibliography"/>
      </w:pPr>
      <w:r>
        <w:t xml:space="preserve">30.</w:t>
      </w:r>
      <w:r>
        <w:t xml:space="preserve"> </w:t>
      </w:r>
      <w:r>
        <w:t xml:space="preserve">	</w:t>
      </w:r>
      <w:r>
        <w:t xml:space="preserve">Martin SJ. 1993.</w:t>
      </w:r>
      <w:r>
        <w:t xml:space="preserve"> </w:t>
      </w:r>
      <w:hyperlink r:id="rId96">
        <w:r>
          <w:rPr>
            <w:rStyle w:val="Hyperlink"/>
          </w:rPr>
          <w:t xml:space="preserve">Protein or RNA synthesis inhibition induces apoptosis of mature human CD4+ t cell blasts</w:t>
        </w:r>
      </w:hyperlink>
      <w:r>
        <w:t xml:space="preserve">. Immunology Letters 35:125–134.</w:t>
      </w:r>
    </w:p>
    <w:bookmarkEnd w:id="97"/>
    <w:bookmarkStart w:id="99" w:name="ref-Christianson2022"/>
    <w:p>
      <w:pPr>
        <w:pStyle w:val="Bibliography"/>
      </w:pPr>
      <w:r>
        <w:t xml:space="preserve">31.</w:t>
      </w:r>
      <w:r>
        <w:t xml:space="preserve"> </w:t>
      </w:r>
      <w:r>
        <w:t xml:space="preserve">	</w:t>
      </w:r>
      <w:r>
        <w:t xml:space="preserve">Christianson JC, Carvalho P. 2022.</w:t>
      </w:r>
      <w:r>
        <w:t xml:space="preserve"> </w:t>
      </w:r>
      <w:hyperlink r:id="rId98">
        <w:r>
          <w:rPr>
            <w:rStyle w:val="Hyperlink"/>
          </w:rPr>
          <w:t xml:space="preserve">Order through destruction: How ER‐associated protein degradation contributes to organelle homeostasis</w:t>
        </w:r>
      </w:hyperlink>
      <w:r>
        <w:t xml:space="preserve">. The EMBO Journal 41.</w:t>
      </w:r>
    </w:p>
    <w:bookmarkEnd w:id="99"/>
    <w:bookmarkStart w:id="101" w:name="ref-vandenHurk1990"/>
    <w:p>
      <w:pPr>
        <w:pStyle w:val="Bibliography"/>
      </w:pPr>
      <w:r>
        <w:t xml:space="preserve">32.</w:t>
      </w:r>
      <w:r>
        <w:t xml:space="preserve"> </w:t>
      </w:r>
      <w:r>
        <w:t xml:space="preserve">	</w:t>
      </w:r>
      <w:r>
        <w:t xml:space="preserve">Hurk JV van den. 1990.</w:t>
      </w:r>
      <w:r>
        <w:t xml:space="preserve"> </w:t>
      </w:r>
      <w:hyperlink r:id="rId100">
        <w:r>
          <w:rPr>
            <w:rStyle w:val="Hyperlink"/>
          </w:rPr>
          <w:t xml:space="preserve">Propagation of group II avian adenoviruses in turkey and chicken leukocytes</w:t>
        </w:r>
      </w:hyperlink>
      <w:r>
        <w:t xml:space="preserve">. Avian Diseases 34:12.</w:t>
      </w:r>
    </w:p>
    <w:bookmarkEnd w:id="101"/>
    <w:bookmarkStart w:id="103" w:name="ref-Aboezz2019"/>
    <w:p>
      <w:pPr>
        <w:pStyle w:val="Bibliography"/>
      </w:pPr>
      <w:r>
        <w:t xml:space="preserve">33.</w:t>
      </w:r>
      <w:r>
        <w:t xml:space="preserve"> </w:t>
      </w:r>
      <w:r>
        <w:t xml:space="preserve">	</w:t>
      </w:r>
      <w:r>
        <w:t xml:space="preserve">Aboezz ZR, Mahsoub HM, El-Bagoury G, Pierson FW. 2019.</w:t>
      </w:r>
      <w:r>
        <w:t xml:space="preserve"> </w:t>
      </w:r>
      <w:hyperlink r:id="rId102">
        <w:r>
          <w:rPr>
            <w:rStyle w:val="Hyperlink"/>
          </w:rPr>
          <w:t xml:space="preserve">In vitro growth kinetics and gene expression analysis of the turkey adenovirus 3, a siadenovirus</w:t>
        </w:r>
      </w:hyperlink>
      <w:r>
        <w:t xml:space="preserve">. Virus Research 263:47–54.</w:t>
      </w:r>
    </w:p>
    <w:bookmarkEnd w:id="103"/>
    <w:bookmarkStart w:id="105" w:name="ref-Quaye2024"/>
    <w:p>
      <w:pPr>
        <w:pStyle w:val="Bibliography"/>
      </w:pPr>
      <w:r>
        <w:t xml:space="preserve">34.</w:t>
      </w:r>
      <w:r>
        <w:t xml:space="preserve"> </w:t>
      </w:r>
      <w:r>
        <w:t xml:space="preserve">	</w:t>
      </w:r>
      <w:r>
        <w:t xml:space="preserve">Quaye A, Pickett BE, Griffitts JS, Berges BK, Poole BD. 2024.</w:t>
      </w:r>
      <w:r>
        <w:t xml:space="preserve"> </w:t>
      </w:r>
      <w:hyperlink r:id="rId104">
        <w:r>
          <w:rPr>
            <w:rStyle w:val="Hyperlink"/>
          </w:rPr>
          <w:t xml:space="preserve">Characterizing the splice map of turkey hemorrhagic enteritis virus</w:t>
        </w:r>
      </w:hyperlink>
      <w:r>
        <w:t xml:space="preserve">. Virology Journal 21.</w:t>
      </w:r>
    </w:p>
    <w:bookmarkEnd w:id="105"/>
    <w:bookmarkStart w:id="107" w:name="ref-Fribley2009"/>
    <w:p>
      <w:pPr>
        <w:pStyle w:val="Bibliography"/>
      </w:pPr>
      <w:r>
        <w:t xml:space="preserve">35.</w:t>
      </w:r>
      <w:r>
        <w:t xml:space="preserve"> </w:t>
      </w:r>
      <w:r>
        <w:t xml:space="preserve">	</w:t>
      </w:r>
      <w:r>
        <w:t xml:space="preserve">Fribley A, Zhang K, Kaufman RJ. 2009.</w:t>
      </w:r>
      <w:r>
        <w:t xml:space="preserve"> </w:t>
      </w:r>
      <w:hyperlink r:id="rId106">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07"/>
    <w:bookmarkStart w:id="109" w:name="ref-Read2021"/>
    <w:p>
      <w:pPr>
        <w:pStyle w:val="Bibliography"/>
      </w:pPr>
      <w:r>
        <w:t xml:space="preserve">36.</w:t>
      </w:r>
      <w:r>
        <w:t xml:space="preserve"> </w:t>
      </w:r>
      <w:r>
        <w:t xml:space="preserve">	</w:t>
      </w:r>
      <w:r>
        <w:t xml:space="preserve">Read A, Schröder M. 2021.</w:t>
      </w:r>
      <w:r>
        <w:t xml:space="preserve"> </w:t>
      </w:r>
      <w:hyperlink r:id="rId108">
        <w:r>
          <w:rPr>
            <w:rStyle w:val="Hyperlink"/>
          </w:rPr>
          <w:t xml:space="preserve">The unfolded protein response: An overview</w:t>
        </w:r>
      </w:hyperlink>
      <w:r>
        <w:t xml:space="preserve">. Biology 10:384.</w:t>
      </w:r>
    </w:p>
    <w:bookmarkEnd w:id="109"/>
    <w:bookmarkStart w:id="111" w:name="ref-Mahsoub2017"/>
    <w:p>
      <w:pPr>
        <w:pStyle w:val="Bibliography"/>
      </w:pPr>
      <w:r>
        <w:t xml:space="preserve">37.</w:t>
      </w:r>
      <w:r>
        <w:t xml:space="preserve"> </w:t>
      </w:r>
      <w:r>
        <w:t xml:space="preserve">	</w:t>
      </w:r>
      <w:r>
        <w:t xml:space="preserve">Mahsoub HM, Evans NP, Beach NM, Yuan L, Zimmerman K, Pierson FW. 2017.</w:t>
      </w:r>
      <w:r>
        <w:t xml:space="preserve"> </w:t>
      </w:r>
      <w:hyperlink r:id="rId110">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11"/>
    <w:bookmarkStart w:id="113" w:name="ref-Snakemake2021"/>
    <w:p>
      <w:pPr>
        <w:pStyle w:val="Bibliography"/>
      </w:pPr>
      <w:r>
        <w:t xml:space="preserve">38.</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12">
        <w:r>
          <w:rPr>
            <w:rStyle w:val="Hyperlink"/>
          </w:rPr>
          <w:t xml:space="preserve">Sustainable data analysis with snakemake</w:t>
        </w:r>
      </w:hyperlink>
      <w:r>
        <w:t xml:space="preserve">. F1000Research 10:33.</w:t>
      </w:r>
    </w:p>
    <w:bookmarkEnd w:id="113"/>
    <w:bookmarkStart w:id="115" w:name="ref-Martin2011"/>
    <w:p>
      <w:pPr>
        <w:pStyle w:val="Bibliography"/>
      </w:pPr>
      <w:r>
        <w:t xml:space="preserve">39.</w:t>
      </w:r>
      <w:r>
        <w:t xml:space="preserve"> </w:t>
      </w:r>
      <w:r>
        <w:t xml:space="preserve">	</w:t>
      </w:r>
      <w:r>
        <w:t xml:space="preserve">Martin M. 2011.</w:t>
      </w:r>
      <w:r>
        <w:t xml:space="preserve"> </w:t>
      </w:r>
      <w:hyperlink r:id="rId114">
        <w:r>
          <w:rPr>
            <w:rStyle w:val="Hyperlink"/>
          </w:rPr>
          <w:t xml:space="preserve">Cutadapt removes adapter sequences from high-throughput sequencing reads</w:t>
        </w:r>
      </w:hyperlink>
      <w:r>
        <w:t xml:space="preserve">. EMBnetjournal 17:10.</w:t>
      </w:r>
    </w:p>
    <w:bookmarkEnd w:id="115"/>
    <w:bookmarkStart w:id="117" w:name="ref-ggplot2"/>
    <w:p>
      <w:pPr>
        <w:pStyle w:val="Bibliography"/>
      </w:pPr>
      <w:r>
        <w:t xml:space="preserve">40.</w:t>
      </w:r>
      <w:r>
        <w:t xml:space="preserve"> </w:t>
      </w:r>
      <w:r>
        <w:t xml:space="preserve">	</w:t>
      </w:r>
      <w:r>
        <w:t xml:space="preserve">Wickham H. 2016. ggplot2: Elegant graphics for data analysis. Springer-Verlag New York.</w:t>
      </w:r>
      <w:r>
        <w:t xml:space="preserve"> </w:t>
      </w:r>
      <w:hyperlink r:id="rId116">
        <w:r>
          <w:rPr>
            <w:rStyle w:val="Hyperlink"/>
          </w:rPr>
          <w:t xml:space="preserve">https://ggplot2.tidyverse.org</w:t>
        </w:r>
      </w:hyperlink>
      <w:r>
        <w:t xml:space="preserve">.</w:t>
      </w:r>
    </w:p>
    <w:bookmarkEnd w:id="117"/>
    <w:bookmarkStart w:id="119" w:name="ref-pheatmap"/>
    <w:p>
      <w:pPr>
        <w:pStyle w:val="Bibliography"/>
      </w:pPr>
      <w:r>
        <w:t xml:space="preserve">41.</w:t>
      </w:r>
      <w:r>
        <w:t xml:space="preserve"> </w:t>
      </w:r>
      <w:r>
        <w:t xml:space="preserve">	</w:t>
      </w:r>
      <w:r>
        <w:t xml:space="preserve">Kolde R. 2019. Pheatmap: Pretty heatmaps.</w:t>
      </w:r>
      <w:r>
        <w:t xml:space="preserve"> </w:t>
      </w:r>
      <w:hyperlink r:id="rId118">
        <w:r>
          <w:rPr>
            <w:rStyle w:val="Hyperlink"/>
          </w:rPr>
          <w:t xml:space="preserve">https://CRAN.R-project.org/package=pheatmap</w:t>
        </w:r>
      </w:hyperlink>
      <w:r>
        <w:t xml:space="preserve">.</w:t>
      </w:r>
    </w:p>
    <w:bookmarkEnd w:id="119"/>
    <w:bookmarkStart w:id="121" w:name="ref-ggvenn"/>
    <w:p>
      <w:pPr>
        <w:pStyle w:val="Bibliography"/>
      </w:pPr>
      <w:r>
        <w:t xml:space="preserve">42.</w:t>
      </w:r>
      <w:r>
        <w:t xml:space="preserve"> </w:t>
      </w:r>
      <w:r>
        <w:t xml:space="preserve">	</w:t>
      </w:r>
      <w:r>
        <w:t xml:space="preserve">Yan L. 2023. Ggvenn: Draw venn diagram by ’ggplot2’.</w:t>
      </w:r>
      <w:r>
        <w:t xml:space="preserve"> </w:t>
      </w:r>
      <w:hyperlink r:id="rId120">
        <w:r>
          <w:rPr>
            <w:rStyle w:val="Hyperlink"/>
          </w:rPr>
          <w:t xml:space="preserve">https://CRAN.R-project.org/package=ggvenn</w:t>
        </w:r>
      </w:hyperlink>
      <w:r>
        <w:t xml:space="preserve">.</w:t>
      </w:r>
    </w:p>
    <w:bookmarkEnd w:id="121"/>
    <w:bookmarkStart w:id="123" w:name="ref-Livak2001"/>
    <w:p>
      <w:pPr>
        <w:pStyle w:val="Bibliography"/>
      </w:pPr>
      <w:r>
        <w:t xml:space="preserve">43.</w:t>
      </w:r>
      <w:r>
        <w:t xml:space="preserve"> </w:t>
      </w:r>
      <w:r>
        <w:t xml:space="preserve">	</w:t>
      </w:r>
      <w:hyperlink r:id="rId122">
        <w:r>
          <w:rPr>
            <w:rStyle w:val="Hyperlink"/>
          </w:rPr>
          <w:t xml:space="preserve">Livak KJ, Schmittgen TD. 2001.. Methods 25:402–408</w:t>
        </w:r>
      </w:hyperlink>
      <w:r>
        <w:t xml:space="preserve">.</w:t>
      </w:r>
    </w:p>
    <w:bookmarkEnd w:id="123"/>
    <w:bookmarkEnd w:id="124"/>
    <w:p>
      <w:r>
        <w:br w:type="page"/>
      </w:r>
    </w:p>
    <w:bookmarkEnd w:id="125"/>
    <w:bookmarkStart w:id="14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38"/>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(THEV-infected) are statistically differentially expressed relative to their time-matched mock-infected counterparts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4"/>
    <w:bookmarkStart w:id="148"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5"/>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48"/>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5" Type="http://schemas.openxmlformats.org/officeDocument/2006/relationships/image" Target="media/rId145.png"/>
<Relationship Id="rId126" Type="http://schemas.openxmlformats.org/officeDocument/2006/relationships/image" Target="media/rId126.png"/>
<Relationship Id="rId132" Type="http://schemas.openxmlformats.org/officeDocument/2006/relationships/image" Target="media/rId132.png"/>
<Relationship Id="rId135" Type="http://schemas.openxmlformats.org/officeDocument/2006/relationships/image" Target="media/rId135.png"/>
<Relationship Id="rId141" Type="http://schemas.openxmlformats.org/officeDocument/2006/relationships/image" Target="media/rId141.png"/>
<Relationship Id="rId129" Type="http://schemas.openxmlformats.org/officeDocument/2006/relationships/image" Target="media/rId129.png"/>
<Relationship Id="rId138" Type="http://schemas.openxmlformats.org/officeDocument/2006/relationships/image" Target="media/rId138.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0" Type="http://schemas.openxmlformats.org/officeDocument/2006/relationships/hyperlink" Target="https://CRAN.R-project.org/package=ggvenn" TargetMode="External"/>
<Relationship Id="rId118"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2" Type="http://schemas.openxmlformats.org/officeDocument/2006/relationships/hyperlink" Target="https://doi.org/10.1006/meth.2001.1262" TargetMode="External"/>
<Relationship Id="rId106"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1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90"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2"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04"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2"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0"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08"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6"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0" Type="http://schemas.openxmlformats.org/officeDocument/2006/relationships/hyperlink" Target="https://CRAN.R-project.org/package=ggvenn" TargetMode="External"/>
<Relationship Id="rId118"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2" Type="http://schemas.openxmlformats.org/officeDocument/2006/relationships/hyperlink" Target="https://doi.org/10.1006/meth.2001.1262" TargetMode="External"/>
<Relationship Id="rId106"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1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90"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2"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04"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2"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0"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08"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6"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2025-01-09T02:12:43Z</dcterms:created>
  <dcterms:modified xsi:type="dcterms:W3CDTF">2025-01-08T19:12:46Z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